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4A" w:rsidRPr="00022C4B" w:rsidRDefault="00D71FCE" w:rsidP="00022C4B">
      <w:pPr>
        <w:jc w:val="center"/>
        <w:rPr>
          <w:b/>
          <w:sz w:val="32"/>
          <w:szCs w:val="32"/>
        </w:rPr>
      </w:pPr>
      <w:r w:rsidRPr="00022C4B">
        <w:rPr>
          <w:b/>
          <w:sz w:val="32"/>
          <w:szCs w:val="32"/>
        </w:rPr>
        <w:t>ESPECIFICACIONES DE REACTIVOS Y BOLSA</w:t>
      </w:r>
    </w:p>
    <w:p w:rsidR="00022C4B" w:rsidRPr="00007141" w:rsidRDefault="00034FA5" w:rsidP="004B00C4">
      <w:pPr>
        <w:pStyle w:val="Prrafodelista"/>
        <w:numPr>
          <w:ilvl w:val="0"/>
          <w:numId w:val="1"/>
        </w:numPr>
        <w:jc w:val="both"/>
        <w:rPr>
          <w:rFonts w:cs="Arial"/>
          <w:b/>
        </w:rPr>
      </w:pPr>
      <w:r w:rsidRPr="00007141">
        <w:rPr>
          <w:rFonts w:cs="Arial"/>
          <w:b/>
        </w:rPr>
        <w:t>CARACTERÍSTICAS</w:t>
      </w:r>
      <w:r w:rsidR="00022C4B" w:rsidRPr="00007141">
        <w:rPr>
          <w:rFonts w:cs="Arial"/>
          <w:b/>
        </w:rPr>
        <w:t xml:space="preserve"> DE LAS BOLSAS PARA RECOLECTAR SA</w:t>
      </w:r>
      <w:r w:rsidR="00D1717E" w:rsidRPr="00007141">
        <w:rPr>
          <w:rFonts w:cs="Arial"/>
          <w:b/>
        </w:rPr>
        <w:t>NGRE</w:t>
      </w:r>
    </w:p>
    <w:p w:rsidR="00022C4B" w:rsidRPr="00007141" w:rsidRDefault="00022C4B" w:rsidP="00022C4B">
      <w:pPr>
        <w:rPr>
          <w:rFonts w:cs="Arial"/>
          <w:b/>
          <w:snapToGrid w:val="0"/>
        </w:rPr>
      </w:pPr>
      <w:r w:rsidRPr="00007141">
        <w:rPr>
          <w:rFonts w:cs="Arial"/>
          <w:b/>
          <w:snapToGrid w:val="0"/>
        </w:rPr>
        <w:t>Bolsa triple para recolectar sangre</w:t>
      </w:r>
      <w:r w:rsidR="00513ACC" w:rsidRPr="00007141">
        <w:rPr>
          <w:rFonts w:cs="Arial"/>
          <w:b/>
          <w:snapToGrid w:val="0"/>
        </w:rPr>
        <w:t xml:space="preserve"> Top and Botton</w:t>
      </w:r>
      <w:r w:rsidR="003831BA" w:rsidRPr="00007141">
        <w:rPr>
          <w:rFonts w:cs="Arial"/>
          <w:b/>
          <w:snapToGrid w:val="0"/>
        </w:rPr>
        <w:t xml:space="preserve"> con Kit de seguridad</w:t>
      </w:r>
    </w:p>
    <w:p w:rsidR="00022C4B" w:rsidRPr="00007141" w:rsidRDefault="00022C4B" w:rsidP="00022C4B">
      <w:pPr>
        <w:snapToGrid w:val="0"/>
        <w:spacing w:after="0" w:line="240" w:lineRule="auto"/>
        <w:jc w:val="both"/>
        <w:rPr>
          <w:rFonts w:cs="Arial"/>
          <w:b/>
        </w:rPr>
      </w:pPr>
      <w:r w:rsidRPr="00007141">
        <w:rPr>
          <w:rFonts w:cs="Arial"/>
          <w:b/>
        </w:rPr>
        <w:t>Características:</w:t>
      </w:r>
    </w:p>
    <w:p w:rsidR="00022C4B" w:rsidRPr="00007141" w:rsidRDefault="00022C4B" w:rsidP="00034FA5">
      <w:pPr>
        <w:pStyle w:val="Prrafodelista"/>
        <w:numPr>
          <w:ilvl w:val="0"/>
          <w:numId w:val="5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  <w:snapToGrid w:val="0"/>
        </w:rPr>
        <w:t xml:space="preserve">Una bolsa </w:t>
      </w:r>
      <w:r w:rsidR="00513ACC" w:rsidRPr="00007141">
        <w:rPr>
          <w:rFonts w:cs="Arial"/>
          <w:snapToGrid w:val="0"/>
        </w:rPr>
        <w:t>primaria para recolectar 450 +/- 45</w:t>
      </w:r>
      <w:r w:rsidRPr="00007141">
        <w:rPr>
          <w:rFonts w:cs="Arial"/>
          <w:snapToGrid w:val="0"/>
        </w:rPr>
        <w:t xml:space="preserve"> ml co</w:t>
      </w:r>
      <w:r w:rsidR="00D71FCE" w:rsidRPr="00007141">
        <w:rPr>
          <w:rFonts w:cs="Arial"/>
          <w:snapToGrid w:val="0"/>
        </w:rPr>
        <w:t xml:space="preserve">n 63 a 70 ml de solución CPD y </w:t>
      </w:r>
      <w:r w:rsidRPr="00007141">
        <w:rPr>
          <w:rFonts w:cs="Arial"/>
          <w:snapToGrid w:val="0"/>
        </w:rPr>
        <w:t>otras dos de 300 ml. mínimo, una con solución aditiva que proporcione como mínimo 42 días de vigencia al concentrado eritrocitario y otra vacía unidas a la primera por tubos</w:t>
      </w:r>
    </w:p>
    <w:p w:rsidR="00022C4B" w:rsidRPr="00007141" w:rsidRDefault="00022C4B" w:rsidP="00034FA5">
      <w:pPr>
        <w:pStyle w:val="Prrafodelista"/>
        <w:numPr>
          <w:ilvl w:val="0"/>
          <w:numId w:val="5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Con tubo colector integral con aguja 15 o 16 G.</w:t>
      </w:r>
    </w:p>
    <w:p w:rsidR="00513ACC" w:rsidRPr="00007141" w:rsidRDefault="00513ACC" w:rsidP="00034FA5">
      <w:pPr>
        <w:pStyle w:val="Prrafodelista"/>
        <w:numPr>
          <w:ilvl w:val="0"/>
          <w:numId w:val="5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Protector de aguja, con sistema de seguridad para toma de muestra.</w:t>
      </w:r>
    </w:p>
    <w:p w:rsidR="00022C4B" w:rsidRPr="00007141" w:rsidRDefault="00022C4B" w:rsidP="00034FA5">
      <w:pPr>
        <w:pStyle w:val="Prrafodelista"/>
        <w:numPr>
          <w:ilvl w:val="0"/>
          <w:numId w:val="5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Una bolsa secundaria de 300 ml unida a la primaria por tubos secundarios.</w:t>
      </w:r>
    </w:p>
    <w:p w:rsidR="00022C4B" w:rsidRPr="00007141" w:rsidRDefault="00022C4B" w:rsidP="00034FA5">
      <w:pPr>
        <w:pStyle w:val="Prrafodelista"/>
        <w:numPr>
          <w:ilvl w:val="0"/>
          <w:numId w:val="5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Las 3 bolsas con etiqueta de identificación adherida de fábrica.</w:t>
      </w:r>
    </w:p>
    <w:p w:rsidR="00022C4B" w:rsidRPr="00007141" w:rsidRDefault="00022C4B" w:rsidP="00034FA5">
      <w:pPr>
        <w:pStyle w:val="Prrafodelista"/>
        <w:numPr>
          <w:ilvl w:val="0"/>
          <w:numId w:val="5"/>
        </w:numPr>
        <w:jc w:val="both"/>
        <w:rPr>
          <w:rFonts w:cs="Arial"/>
          <w:snapToGrid w:val="0"/>
        </w:rPr>
      </w:pPr>
      <w:r w:rsidRPr="00007141">
        <w:rPr>
          <w:rFonts w:cs="Arial"/>
          <w:snapToGrid w:val="0"/>
        </w:rPr>
        <w:t>Pieza o envase colectivo.</w:t>
      </w:r>
    </w:p>
    <w:p w:rsidR="00022C4B" w:rsidRPr="00007141" w:rsidRDefault="00022C4B" w:rsidP="00022C4B">
      <w:pPr>
        <w:snapToGrid w:val="0"/>
        <w:spacing w:after="0" w:line="240" w:lineRule="auto"/>
        <w:jc w:val="both"/>
        <w:rPr>
          <w:rFonts w:cs="Arial"/>
          <w:b/>
        </w:rPr>
      </w:pPr>
      <w:r w:rsidRPr="00007141">
        <w:rPr>
          <w:rFonts w:cs="Arial"/>
          <w:b/>
        </w:rPr>
        <w:t>Bolsa cuádruple para recolectar sangre Top and Bot</w:t>
      </w:r>
      <w:r w:rsidR="00D1717E" w:rsidRPr="00007141">
        <w:rPr>
          <w:rFonts w:cs="Arial"/>
          <w:b/>
        </w:rPr>
        <w:t>t</w:t>
      </w:r>
      <w:r w:rsidRPr="00007141">
        <w:rPr>
          <w:rFonts w:cs="Arial"/>
          <w:b/>
        </w:rPr>
        <w:t>on</w:t>
      </w:r>
    </w:p>
    <w:p w:rsidR="00022C4B" w:rsidRPr="00007141" w:rsidRDefault="00022C4B" w:rsidP="00022C4B">
      <w:pPr>
        <w:snapToGrid w:val="0"/>
        <w:spacing w:after="0" w:line="240" w:lineRule="auto"/>
        <w:jc w:val="both"/>
        <w:rPr>
          <w:rFonts w:cs="Arial"/>
          <w:b/>
        </w:rPr>
      </w:pPr>
    </w:p>
    <w:p w:rsidR="00034FA5" w:rsidRPr="00007141" w:rsidRDefault="00022C4B" w:rsidP="00034FA5">
      <w:p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Características:</w:t>
      </w:r>
    </w:p>
    <w:p w:rsidR="00022C4B" w:rsidRPr="00007141" w:rsidRDefault="00022C4B" w:rsidP="00034FA5">
      <w:pPr>
        <w:pStyle w:val="Prrafodelista"/>
        <w:numPr>
          <w:ilvl w:val="0"/>
          <w:numId w:val="7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Contiene una bolsa primaria para obtener 450 ± 45 ml de sangre total con 63 ml de solución CPD.</w:t>
      </w:r>
    </w:p>
    <w:p w:rsidR="00022C4B" w:rsidRPr="00007141" w:rsidRDefault="00022C4B" w:rsidP="00034FA5">
      <w:pPr>
        <w:pStyle w:val="Prrafodelista"/>
        <w:numPr>
          <w:ilvl w:val="0"/>
          <w:numId w:val="7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Tubo colector con aguja de 15 o 16 G.</w:t>
      </w:r>
    </w:p>
    <w:p w:rsidR="00022C4B" w:rsidRPr="00007141" w:rsidRDefault="00022C4B" w:rsidP="00034FA5">
      <w:pPr>
        <w:pStyle w:val="Prrafodelista"/>
        <w:numPr>
          <w:ilvl w:val="0"/>
          <w:numId w:val="7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Protector de aguja, con sistema de seguridad para toma de muestra,</w:t>
      </w:r>
    </w:p>
    <w:p w:rsidR="00022C4B" w:rsidRPr="00007141" w:rsidRDefault="00022C4B" w:rsidP="00034FA5">
      <w:pPr>
        <w:pStyle w:val="Prrafodelista"/>
        <w:numPr>
          <w:ilvl w:val="0"/>
          <w:numId w:val="7"/>
        </w:numPr>
        <w:snapToGrid w:val="0"/>
        <w:spacing w:after="0" w:line="240" w:lineRule="auto"/>
        <w:jc w:val="both"/>
        <w:rPr>
          <w:rFonts w:cs="Arial"/>
        </w:rPr>
      </w:pPr>
      <w:r w:rsidRPr="00007141">
        <w:rPr>
          <w:rFonts w:cs="Arial"/>
        </w:rPr>
        <w:t>Tres bolsas secundarias unidas a la primaria, con códigos de identificación, una de las bolsas secundarias con 100 ml de solución aditiva que proporcione como mínimo 42 días de vigencia al concentrado eritrocitario.</w:t>
      </w:r>
    </w:p>
    <w:p w:rsidR="00022C4B" w:rsidRPr="00007141" w:rsidRDefault="00022C4B" w:rsidP="00034FA5">
      <w:pPr>
        <w:pStyle w:val="Prrafodelista"/>
        <w:numPr>
          <w:ilvl w:val="0"/>
          <w:numId w:val="6"/>
        </w:numPr>
        <w:jc w:val="both"/>
        <w:rPr>
          <w:rFonts w:cs="Arial"/>
          <w:snapToGrid w:val="0"/>
        </w:rPr>
      </w:pPr>
      <w:r w:rsidRPr="00007141">
        <w:rPr>
          <w:rFonts w:cs="Arial"/>
          <w:snapToGrid w:val="0"/>
        </w:rPr>
        <w:t>Pieza o envase colectivo</w:t>
      </w:r>
      <w:r w:rsidR="004B53B0" w:rsidRPr="00007141">
        <w:rPr>
          <w:rFonts w:cs="Arial"/>
          <w:snapToGrid w:val="0"/>
        </w:rPr>
        <w:t>.</w:t>
      </w:r>
    </w:p>
    <w:p w:rsidR="00022C4B" w:rsidRPr="00007141" w:rsidRDefault="004B53B0" w:rsidP="00034FA5">
      <w:pPr>
        <w:pStyle w:val="Prrafodelista"/>
        <w:numPr>
          <w:ilvl w:val="0"/>
          <w:numId w:val="6"/>
        </w:numPr>
        <w:rPr>
          <w:rFonts w:cs="Arial"/>
          <w:snapToGrid w:val="0"/>
        </w:rPr>
      </w:pPr>
      <w:r w:rsidRPr="00007141">
        <w:rPr>
          <w:rFonts w:cs="Arial"/>
          <w:snapToGrid w:val="0"/>
        </w:rPr>
        <w:t xml:space="preserve">Bolsa para fracciones pediátricas con </w:t>
      </w:r>
      <w:r w:rsidR="00F26B7A" w:rsidRPr="00007141">
        <w:rPr>
          <w:rFonts w:cs="Arial"/>
          <w:snapToGrid w:val="0"/>
        </w:rPr>
        <w:t>cinco satélites</w:t>
      </w:r>
      <w:r w:rsidRPr="00007141">
        <w:rPr>
          <w:rFonts w:cs="Arial"/>
          <w:snapToGrid w:val="0"/>
        </w:rPr>
        <w:t>.</w:t>
      </w:r>
    </w:p>
    <w:p w:rsidR="00022C4B" w:rsidRPr="00007141" w:rsidRDefault="004B53B0" w:rsidP="00022C4B">
      <w:pPr>
        <w:rPr>
          <w:b/>
        </w:rPr>
      </w:pPr>
      <w:r w:rsidRPr="00007141">
        <w:rPr>
          <w:b/>
        </w:rPr>
        <w:t>Características:</w:t>
      </w:r>
    </w:p>
    <w:p w:rsidR="004B53B0" w:rsidRDefault="004B53B0" w:rsidP="00F26B7A">
      <w:pPr>
        <w:pStyle w:val="Prrafodelista"/>
        <w:numPr>
          <w:ilvl w:val="0"/>
          <w:numId w:val="8"/>
        </w:numPr>
        <w:ind w:left="709" w:hanging="283"/>
        <w:jc w:val="both"/>
      </w:pPr>
      <w:r w:rsidRPr="00007141">
        <w:t xml:space="preserve">Bolsa con </w:t>
      </w:r>
      <w:r w:rsidR="00F26B7A" w:rsidRPr="00007141">
        <w:t>cinco satélites</w:t>
      </w:r>
      <w:r w:rsidRPr="00007141">
        <w:t xml:space="preserve"> para obtener fracciones pediátricas conectándose a la Bolsa madre.</w:t>
      </w:r>
      <w:r w:rsidR="00513ACC" w:rsidRPr="00007141">
        <w:tab/>
      </w:r>
    </w:p>
    <w:p w:rsidR="000063F7" w:rsidRPr="00007141" w:rsidRDefault="000063F7" w:rsidP="000063F7">
      <w:pPr>
        <w:pStyle w:val="Prrafodelista"/>
        <w:ind w:left="709"/>
        <w:jc w:val="both"/>
      </w:pPr>
      <w:bookmarkStart w:id="0" w:name="_GoBack"/>
      <w:bookmarkEnd w:id="0"/>
    </w:p>
    <w:p w:rsidR="004B53B0" w:rsidRPr="00007141" w:rsidRDefault="008F001D" w:rsidP="008F001D">
      <w:pPr>
        <w:pStyle w:val="Prrafodelista"/>
        <w:numPr>
          <w:ilvl w:val="0"/>
          <w:numId w:val="1"/>
        </w:numPr>
        <w:jc w:val="both"/>
        <w:rPr>
          <w:b/>
        </w:rPr>
      </w:pPr>
      <w:r w:rsidRPr="00007141">
        <w:rPr>
          <w:rFonts w:cs="Arial"/>
          <w:b/>
          <w:snapToGrid w:val="0"/>
          <w:lang w:val="es-ES"/>
        </w:rPr>
        <w:t xml:space="preserve">PRUEBAS </w:t>
      </w:r>
      <w:r w:rsidR="0031037B" w:rsidRPr="00007141">
        <w:rPr>
          <w:rFonts w:cs="Arial"/>
          <w:b/>
          <w:snapToGrid w:val="0"/>
          <w:lang w:val="es-ES"/>
        </w:rPr>
        <w:t>SEROLÓGICAS</w:t>
      </w:r>
      <w:r w:rsidRPr="00007141">
        <w:rPr>
          <w:rFonts w:cs="Arial"/>
          <w:b/>
          <w:snapToGrid w:val="0"/>
          <w:lang w:val="es-ES"/>
        </w:rPr>
        <w:t xml:space="preserve"> A PROPORCIONAR</w:t>
      </w:r>
    </w:p>
    <w:p w:rsidR="008F001D" w:rsidRPr="00007141" w:rsidRDefault="008F001D" w:rsidP="008F001D">
      <w:pPr>
        <w:jc w:val="both"/>
        <w:rPr>
          <w:b/>
        </w:rPr>
      </w:pPr>
      <w:r w:rsidRPr="00007141">
        <w:rPr>
          <w:b/>
        </w:rPr>
        <w:t xml:space="preserve">Pruebas para HIV, Hepatitis B, Hepatitis C, Sífilis y Enfermedad de Chagas. </w:t>
      </w:r>
    </w:p>
    <w:p w:rsidR="005A083E" w:rsidRPr="00007141" w:rsidRDefault="008F001D" w:rsidP="0031037B">
      <w:pPr>
        <w:jc w:val="both"/>
        <w:rPr>
          <w:rFonts w:cs="Arial"/>
        </w:rPr>
      </w:pPr>
      <w:r w:rsidRPr="00007141">
        <w:t xml:space="preserve">Equipo de 100 pruebas para </w:t>
      </w:r>
      <w:r w:rsidR="008D7299" w:rsidRPr="00007141">
        <w:t>detectar a</w:t>
      </w:r>
      <w:r w:rsidRPr="00007141">
        <w:t xml:space="preserve"> cada una de las enfermedades</w:t>
      </w:r>
      <w:r w:rsidR="008D7299" w:rsidRPr="00007141">
        <w:t xml:space="preserve"> antes mencionadas </w:t>
      </w:r>
      <w:r w:rsidR="005A083E" w:rsidRPr="00007141">
        <w:t>para ser procesada por la técnica de</w:t>
      </w:r>
      <w:r w:rsidR="003831BA" w:rsidRPr="00007141">
        <w:t xml:space="preserve"> quimio luminiscencia MEIA</w:t>
      </w:r>
      <w:r w:rsidR="005A083E" w:rsidRPr="00007141">
        <w:rPr>
          <w:rFonts w:cs="Arial"/>
        </w:rPr>
        <w:t xml:space="preserve"> o FPIA para la detección de anticuerpos Anti VIH-1, Anti VIH-2 y Anti VIH-1 grupo O.</w:t>
      </w:r>
    </w:p>
    <w:p w:rsidR="005A083E" w:rsidRPr="00007141" w:rsidRDefault="005A083E" w:rsidP="0031037B">
      <w:pPr>
        <w:jc w:val="both"/>
        <w:rPr>
          <w:rFonts w:cs="Arial"/>
        </w:rPr>
      </w:pPr>
      <w:r w:rsidRPr="00007141">
        <w:rPr>
          <w:rFonts w:cs="Arial"/>
        </w:rPr>
        <w:t xml:space="preserve">Equipo de 100 pruebas para detectar por Quimioluminiscencia, MEIA o </w:t>
      </w:r>
      <w:r w:rsidR="0031037B" w:rsidRPr="00007141">
        <w:rPr>
          <w:rFonts w:cs="Arial"/>
        </w:rPr>
        <w:t>FPIA de</w:t>
      </w:r>
      <w:r w:rsidRPr="00007141">
        <w:rPr>
          <w:rFonts w:cs="Arial"/>
        </w:rPr>
        <w:t xml:space="preserve"> anticuerpos de la Hepatitis C</w:t>
      </w:r>
      <w:r w:rsidR="00513ACC" w:rsidRPr="00007141">
        <w:rPr>
          <w:rFonts w:cs="Arial"/>
        </w:rPr>
        <w:t xml:space="preserve"> en suero o plasma</w:t>
      </w:r>
      <w:r w:rsidRPr="00007141">
        <w:rPr>
          <w:rFonts w:cs="Arial"/>
        </w:rPr>
        <w:t>.</w:t>
      </w:r>
    </w:p>
    <w:p w:rsidR="005A083E" w:rsidRPr="00007141" w:rsidRDefault="005A083E" w:rsidP="0031037B">
      <w:pPr>
        <w:jc w:val="both"/>
        <w:rPr>
          <w:rFonts w:cs="Arial"/>
          <w:snapToGrid w:val="0"/>
        </w:rPr>
      </w:pPr>
      <w:r w:rsidRPr="00007141">
        <w:rPr>
          <w:rFonts w:cs="Arial"/>
        </w:rPr>
        <w:lastRenderedPageBreak/>
        <w:t xml:space="preserve">Equipo de 100 pruebas para detectar por Quimioluminiscencia, MEIA o </w:t>
      </w:r>
      <w:r w:rsidR="0031037B" w:rsidRPr="00007141">
        <w:rPr>
          <w:rFonts w:cs="Arial"/>
        </w:rPr>
        <w:t>FPIA</w:t>
      </w:r>
      <w:r w:rsidR="0031037B" w:rsidRPr="00007141">
        <w:rPr>
          <w:rFonts w:cs="Arial"/>
          <w:snapToGrid w:val="0"/>
        </w:rPr>
        <w:t xml:space="preserve"> (</w:t>
      </w:r>
      <w:r w:rsidRPr="00007141">
        <w:rPr>
          <w:rFonts w:cs="Arial"/>
          <w:snapToGrid w:val="0"/>
        </w:rPr>
        <w:t>AgSHB) en suero o plasma.</w:t>
      </w:r>
    </w:p>
    <w:p w:rsidR="005A083E" w:rsidRPr="00007141" w:rsidRDefault="005A083E" w:rsidP="005A083E">
      <w:pPr>
        <w:jc w:val="both"/>
        <w:rPr>
          <w:rFonts w:cs="Arial"/>
          <w:snapToGrid w:val="0"/>
        </w:rPr>
      </w:pPr>
      <w:r w:rsidRPr="00007141">
        <w:rPr>
          <w:rFonts w:cs="Arial"/>
        </w:rPr>
        <w:t xml:space="preserve">Equipo de 100 pruebas para detectar por Quimioluminiscencia, MEIA o </w:t>
      </w:r>
      <w:r w:rsidR="0031037B" w:rsidRPr="00007141">
        <w:rPr>
          <w:rFonts w:cs="Arial"/>
        </w:rPr>
        <w:t>FPIA</w:t>
      </w:r>
      <w:r w:rsidR="0031037B" w:rsidRPr="00007141">
        <w:rPr>
          <w:rFonts w:cs="Arial"/>
          <w:snapToGrid w:val="0"/>
        </w:rPr>
        <w:t xml:space="preserve"> anticuerpos</w:t>
      </w:r>
      <w:r w:rsidRPr="00007141">
        <w:rPr>
          <w:rFonts w:cs="Arial"/>
          <w:snapToGrid w:val="0"/>
        </w:rPr>
        <w:t xml:space="preserve"> frente al Treponema Pallidum en suero o plasma.</w:t>
      </w:r>
    </w:p>
    <w:p w:rsidR="005A083E" w:rsidRPr="00007141" w:rsidRDefault="00D1630B" w:rsidP="005A083E">
      <w:pPr>
        <w:jc w:val="both"/>
        <w:rPr>
          <w:rFonts w:cs="Arial"/>
          <w:snapToGrid w:val="0"/>
        </w:rPr>
      </w:pPr>
      <w:r w:rsidRPr="00007141">
        <w:rPr>
          <w:rFonts w:cs="Arial"/>
        </w:rPr>
        <w:t xml:space="preserve">Equipo de 100 pruebas para detectar por Quimioluminiscencia, MEIA o </w:t>
      </w:r>
      <w:r w:rsidR="0031037B" w:rsidRPr="00007141">
        <w:rPr>
          <w:rFonts w:cs="Arial"/>
        </w:rPr>
        <w:t>FPIA</w:t>
      </w:r>
      <w:r w:rsidR="0031037B" w:rsidRPr="00007141">
        <w:rPr>
          <w:rFonts w:cs="Arial"/>
          <w:snapToGrid w:val="0"/>
        </w:rPr>
        <w:t xml:space="preserve"> anticuerpos</w:t>
      </w:r>
      <w:r w:rsidRPr="00007141">
        <w:rPr>
          <w:rFonts w:cs="Arial"/>
          <w:snapToGrid w:val="0"/>
        </w:rPr>
        <w:t xml:space="preserve"> frente al TrypanosomaCruzi en suero o plasma.</w:t>
      </w:r>
    </w:p>
    <w:p w:rsidR="008F001D" w:rsidRPr="00007141" w:rsidRDefault="005A083E" w:rsidP="008F001D">
      <w:pPr>
        <w:jc w:val="both"/>
        <w:rPr>
          <w:rFonts w:cs="Arial"/>
          <w:snapToGrid w:val="0"/>
        </w:rPr>
      </w:pPr>
      <w:r w:rsidRPr="00007141">
        <w:rPr>
          <w:rFonts w:cs="Arial"/>
          <w:snapToGrid w:val="0"/>
        </w:rPr>
        <w:t xml:space="preserve">Que incluye </w:t>
      </w:r>
      <w:r w:rsidR="0031037B" w:rsidRPr="00007141">
        <w:rPr>
          <w:rFonts w:cs="Arial"/>
          <w:snapToGrid w:val="0"/>
        </w:rPr>
        <w:t>controles y</w:t>
      </w:r>
      <w:r w:rsidRPr="00007141">
        <w:rPr>
          <w:rFonts w:cs="Arial"/>
          <w:snapToGrid w:val="0"/>
        </w:rPr>
        <w:t xml:space="preserve"> reactivos suplementarios.</w:t>
      </w:r>
    </w:p>
    <w:p w:rsidR="00D1630B" w:rsidRPr="00007141" w:rsidRDefault="00D1630B" w:rsidP="008F001D">
      <w:pPr>
        <w:jc w:val="both"/>
        <w:rPr>
          <w:rFonts w:cs="Arial"/>
          <w:b/>
          <w:snapToGrid w:val="0"/>
        </w:rPr>
      </w:pPr>
      <w:r w:rsidRPr="00007141">
        <w:rPr>
          <w:rFonts w:cs="Arial"/>
          <w:b/>
          <w:snapToGrid w:val="0"/>
        </w:rPr>
        <w:t xml:space="preserve">Prueba para </w:t>
      </w:r>
      <w:r w:rsidR="00F83C3A" w:rsidRPr="00007141">
        <w:rPr>
          <w:rFonts w:cs="Arial"/>
          <w:b/>
          <w:snapToGrid w:val="0"/>
        </w:rPr>
        <w:t>detectar Brúcela.</w:t>
      </w:r>
    </w:p>
    <w:p w:rsidR="00F83C3A" w:rsidRPr="00007141" w:rsidRDefault="00F83C3A" w:rsidP="008F001D">
      <w:pPr>
        <w:jc w:val="both"/>
        <w:rPr>
          <w:rFonts w:cs="Arial"/>
          <w:snapToGrid w:val="0"/>
        </w:rPr>
      </w:pPr>
      <w:r w:rsidRPr="00007141">
        <w:rPr>
          <w:rFonts w:cs="Arial"/>
          <w:snapToGrid w:val="0"/>
        </w:rPr>
        <w:t>Prueba de aglutinación con antígeno Rosa de Bengala.</w:t>
      </w:r>
    </w:p>
    <w:p w:rsidR="00F83C3A" w:rsidRPr="00007141" w:rsidRDefault="00F83C3A" w:rsidP="00F83C3A">
      <w:pPr>
        <w:rPr>
          <w:rFonts w:cs="Arial"/>
        </w:rPr>
      </w:pPr>
      <w:r w:rsidRPr="00007141">
        <w:rPr>
          <w:rFonts w:cs="Arial"/>
        </w:rPr>
        <w:t>Equipo que contenga:</w:t>
      </w:r>
    </w:p>
    <w:p w:rsidR="00F83C3A" w:rsidRPr="00007141" w:rsidRDefault="00F83C3A" w:rsidP="00F83C3A">
      <w:pPr>
        <w:tabs>
          <w:tab w:val="left" w:pos="720"/>
        </w:tabs>
        <w:suppressAutoHyphens/>
        <w:snapToGrid w:val="0"/>
        <w:spacing w:after="0" w:line="240" w:lineRule="auto"/>
        <w:ind w:left="720"/>
        <w:rPr>
          <w:rFonts w:cs="Arial"/>
        </w:rPr>
      </w:pPr>
      <w:r w:rsidRPr="00007141">
        <w:rPr>
          <w:rFonts w:cs="Arial"/>
        </w:rPr>
        <w:t>Placa de Reacción</w:t>
      </w:r>
    </w:p>
    <w:p w:rsidR="00F83C3A" w:rsidRPr="00007141" w:rsidRDefault="00F83C3A" w:rsidP="00F83C3A">
      <w:pPr>
        <w:tabs>
          <w:tab w:val="left" w:pos="720"/>
        </w:tabs>
        <w:suppressAutoHyphens/>
        <w:snapToGrid w:val="0"/>
        <w:spacing w:after="0" w:line="240" w:lineRule="auto"/>
        <w:ind w:left="720"/>
        <w:rPr>
          <w:rFonts w:cs="Arial"/>
        </w:rPr>
      </w:pPr>
      <w:r w:rsidRPr="00007141">
        <w:rPr>
          <w:rFonts w:cs="Arial"/>
        </w:rPr>
        <w:t xml:space="preserve">Control Positivo </w:t>
      </w:r>
    </w:p>
    <w:p w:rsidR="008F001D" w:rsidRPr="00007141" w:rsidRDefault="00F83C3A" w:rsidP="00F83C3A">
      <w:pPr>
        <w:ind w:firstLine="708"/>
        <w:jc w:val="both"/>
        <w:rPr>
          <w:rFonts w:cs="Arial"/>
          <w:snapToGrid w:val="0"/>
        </w:rPr>
      </w:pPr>
      <w:r w:rsidRPr="00007141">
        <w:rPr>
          <w:rFonts w:cs="Arial"/>
          <w:snapToGrid w:val="0"/>
        </w:rPr>
        <w:t>Control Negativo</w:t>
      </w:r>
    </w:p>
    <w:tbl>
      <w:tblPr>
        <w:tblStyle w:val="Tablaconcuadrcula"/>
        <w:tblpPr w:leftFromText="141" w:rightFromText="141" w:vertAnchor="text" w:horzAnchor="page" w:tblpX="1630" w:tblpY="292"/>
        <w:tblW w:w="0" w:type="auto"/>
        <w:tblLayout w:type="fixed"/>
        <w:tblLook w:val="04A0"/>
      </w:tblPr>
      <w:tblGrid>
        <w:gridCol w:w="2263"/>
        <w:gridCol w:w="6565"/>
      </w:tblGrid>
      <w:tr w:rsidR="00FF75B2" w:rsidRPr="002D2C17" w:rsidTr="00FF75B2">
        <w:tc>
          <w:tcPr>
            <w:tcW w:w="2263" w:type="dxa"/>
          </w:tcPr>
          <w:p w:rsidR="00FF75B2" w:rsidRPr="00007141" w:rsidRDefault="00FF75B2" w:rsidP="00FF75B2">
            <w:r w:rsidRPr="00007141">
              <w:t>REACTIVOS PARA CLASIFICAR SUBGRUPOS DE A</w:t>
            </w:r>
          </w:p>
        </w:tc>
        <w:tc>
          <w:tcPr>
            <w:tcW w:w="6565" w:type="dxa"/>
          </w:tcPr>
          <w:p w:rsidR="00FF75B2" w:rsidRPr="00007141" w:rsidRDefault="00FF75B2" w:rsidP="0031037B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line="270" w:lineRule="atLeast"/>
              <w:jc w:val="both"/>
              <w:outlineLvl w:val="0"/>
              <w:rPr>
                <w:rFonts w:eastAsia="Times New Roman" w:cstheme="minorHAnsi"/>
                <w:kern w:val="36"/>
                <w:sz w:val="24"/>
                <w:szCs w:val="24"/>
                <w:lang w:eastAsia="es-MX"/>
              </w:rPr>
            </w:pPr>
            <w:r w:rsidRPr="00007141">
              <w:rPr>
                <w:rFonts w:eastAsia="Times New Roman" w:cstheme="minorHAnsi"/>
                <w:kern w:val="36"/>
                <w:sz w:val="24"/>
                <w:szCs w:val="24"/>
                <w:lang w:eastAsia="es-MX"/>
              </w:rPr>
              <w:t xml:space="preserve">LECTINA ANTI A1: </w:t>
            </w:r>
            <w:r w:rsidRPr="00007141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Antisuero líquido que contiene </w:t>
            </w:r>
            <w:r w:rsidR="0031037B" w:rsidRPr="00007141">
              <w:rPr>
                <w:rFonts w:cstheme="minorHAnsi"/>
                <w:sz w:val="24"/>
                <w:szCs w:val="24"/>
                <w:shd w:val="clear" w:color="auto" w:fill="FFFFFF"/>
              </w:rPr>
              <w:t>lectina de</w:t>
            </w:r>
            <w:r w:rsidRPr="00007141">
              <w:rPr>
                <w:rFonts w:cstheme="minorHAnsi"/>
                <w:i/>
                <w:sz w:val="24"/>
                <w:szCs w:val="24"/>
                <w:shd w:val="clear" w:color="auto" w:fill="FFFFFF"/>
              </w:rPr>
              <w:t>Dolichusbiflorus</w:t>
            </w:r>
            <w:r w:rsidRPr="00007141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para el tipaje de hematíes, uso validado en técnicas </w:t>
            </w:r>
            <w:r w:rsidRPr="00007141">
              <w:rPr>
                <w:rFonts w:eastAsia="Times New Roman" w:cstheme="minorHAnsi"/>
                <w:kern w:val="36"/>
                <w:sz w:val="24"/>
                <w:szCs w:val="24"/>
                <w:lang w:eastAsia="es-MX"/>
              </w:rPr>
              <w:t>con tarjetas de gel de formato único de 8 columnas basado en la técnica de aglutinación en columna para la clasificación de subgrupos de A tanto manual como automatizado.</w:t>
            </w:r>
          </w:p>
          <w:p w:rsidR="00FF75B2" w:rsidRPr="00007141" w:rsidRDefault="00FF75B2" w:rsidP="0031037B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line="270" w:lineRule="atLeast"/>
              <w:jc w:val="both"/>
              <w:outlineLvl w:val="0"/>
              <w:rPr>
                <w:rFonts w:ascii="Arial" w:eastAsia="Times New Roman" w:hAnsi="Arial" w:cs="Arial"/>
                <w:color w:val="666666"/>
                <w:kern w:val="36"/>
                <w:sz w:val="18"/>
                <w:szCs w:val="18"/>
                <w:lang w:eastAsia="es-MX"/>
              </w:rPr>
            </w:pPr>
            <w:r w:rsidRPr="00007141">
              <w:rPr>
                <w:rFonts w:cstheme="minorHAnsi"/>
                <w:sz w:val="24"/>
                <w:szCs w:val="24"/>
                <w:shd w:val="clear" w:color="auto" w:fill="FFFFFF"/>
              </w:rPr>
              <w:t>ANTI H: Antisuero líquido que contiene Anticuerpo monoclonal murino clona 10934C11, para el tipaje de hematíes, uso validado en técnicas</w:t>
            </w:r>
            <w:r w:rsidRPr="00007141">
              <w:rPr>
                <w:rFonts w:eastAsia="Times New Roman" w:cstheme="minorHAnsi"/>
                <w:kern w:val="36"/>
                <w:sz w:val="24"/>
                <w:szCs w:val="24"/>
                <w:lang w:eastAsia="es-MX"/>
              </w:rPr>
              <w:t xml:space="preserve"> con tarjetas de gel de formato único de 8 columnas basado en la técnica de aglutinación en columna para la clasificación de subgrupos de A tanto manual como automatizado</w:t>
            </w:r>
            <w:r w:rsidRPr="00007141">
              <w:rPr>
                <w:rFonts w:ascii="Arial" w:eastAsia="Times New Roman" w:hAnsi="Arial" w:cs="Arial"/>
                <w:color w:val="666666"/>
                <w:kern w:val="36"/>
                <w:sz w:val="18"/>
                <w:szCs w:val="18"/>
                <w:lang w:eastAsia="es-MX"/>
              </w:rPr>
              <w:t>.</w:t>
            </w:r>
          </w:p>
        </w:tc>
      </w:tr>
    </w:tbl>
    <w:p w:rsidR="00FF75B2" w:rsidRDefault="00FF75B2" w:rsidP="00F83C3A">
      <w:pPr>
        <w:ind w:firstLine="708"/>
        <w:jc w:val="both"/>
        <w:rPr>
          <w:rFonts w:cs="Arial"/>
          <w:snapToGrid w:val="0"/>
        </w:rPr>
      </w:pPr>
    </w:p>
    <w:p w:rsidR="00FF75B2" w:rsidRPr="00F83C3A" w:rsidRDefault="00FF75B2" w:rsidP="00F83C3A">
      <w:pPr>
        <w:ind w:firstLine="708"/>
        <w:jc w:val="both"/>
        <w:rPr>
          <w:rFonts w:cs="Arial"/>
          <w:snapToGrid w:val="0"/>
        </w:rPr>
      </w:pPr>
    </w:p>
    <w:sectPr w:rsidR="00FF75B2" w:rsidRPr="00F83C3A" w:rsidSect="00BC06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68" w:rsidRDefault="00AE5F68" w:rsidP="00A81ECE">
      <w:pPr>
        <w:spacing w:after="0" w:line="240" w:lineRule="auto"/>
      </w:pPr>
      <w:r>
        <w:separator/>
      </w:r>
    </w:p>
  </w:endnote>
  <w:endnote w:type="continuationSeparator" w:id="1">
    <w:p w:rsidR="00AE5F68" w:rsidRDefault="00AE5F68" w:rsidP="00A8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6D" w:rsidRDefault="0019656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6904984"/>
      <w:docPartObj>
        <w:docPartGallery w:val="Page Numbers (Bottom of Page)"/>
        <w:docPartUnique/>
      </w:docPartObj>
    </w:sdtPr>
    <w:sdtContent>
      <w:p w:rsidR="0019656D" w:rsidRDefault="00B30B52">
        <w:pPr>
          <w:pStyle w:val="Piedepgina"/>
          <w:jc w:val="right"/>
        </w:pPr>
        <w:r>
          <w:fldChar w:fldCharType="begin"/>
        </w:r>
        <w:r w:rsidR="0019656D">
          <w:instrText>PAGE   \* MERGEFORMAT</w:instrText>
        </w:r>
        <w:r>
          <w:fldChar w:fldCharType="separate"/>
        </w:r>
        <w:r w:rsidR="00741E77" w:rsidRPr="00741E77">
          <w:rPr>
            <w:noProof/>
            <w:lang w:val="es-ES"/>
          </w:rPr>
          <w:t>1</w:t>
        </w:r>
        <w:r>
          <w:fldChar w:fldCharType="end"/>
        </w:r>
      </w:p>
    </w:sdtContent>
  </w:sdt>
  <w:p w:rsidR="0019656D" w:rsidRDefault="0019656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6D" w:rsidRDefault="0019656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68" w:rsidRDefault="00AE5F68" w:rsidP="00A81ECE">
      <w:pPr>
        <w:spacing w:after="0" w:line="240" w:lineRule="auto"/>
      </w:pPr>
      <w:r>
        <w:separator/>
      </w:r>
    </w:p>
  </w:footnote>
  <w:footnote w:type="continuationSeparator" w:id="1">
    <w:p w:rsidR="00AE5F68" w:rsidRDefault="00AE5F68" w:rsidP="00A8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6D" w:rsidRDefault="0019656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7E" w:rsidRPr="0019656D" w:rsidRDefault="0019656D" w:rsidP="00A81ECE">
    <w:pPr>
      <w:pStyle w:val="Encabezado"/>
      <w:jc w:val="right"/>
      <w:rPr>
        <w:b/>
        <w:sz w:val="28"/>
      </w:rPr>
    </w:pPr>
    <w:r>
      <w:rPr>
        <w:b/>
        <w:sz w:val="28"/>
      </w:rPr>
      <w:t>ANEXO I-</w:t>
    </w:r>
    <w:r w:rsidR="00D1717E" w:rsidRPr="0019656D">
      <w:rPr>
        <w:b/>
        <w:sz w:val="28"/>
      </w:rPr>
      <w:t>H</w:t>
    </w:r>
  </w:p>
  <w:p w:rsidR="00D1717E" w:rsidRDefault="00D1717E">
    <w:pPr>
      <w:pStyle w:val="Encabezado"/>
    </w:pPr>
  </w:p>
  <w:p w:rsidR="00D1717E" w:rsidRDefault="00D1717E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6D" w:rsidRDefault="0019656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A"/>
    <w:multiLevelType w:val="singleLevel"/>
    <w:tmpl w:val="0000001A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BE04D7F"/>
    <w:multiLevelType w:val="hybridMultilevel"/>
    <w:tmpl w:val="228470CA"/>
    <w:lvl w:ilvl="0" w:tplc="502C1A6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E597C"/>
    <w:multiLevelType w:val="hybridMultilevel"/>
    <w:tmpl w:val="536A6A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E0153"/>
    <w:multiLevelType w:val="hybridMultilevel"/>
    <w:tmpl w:val="91D4DD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B84B4E"/>
    <w:multiLevelType w:val="hybridMultilevel"/>
    <w:tmpl w:val="6A8284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24F17"/>
    <w:multiLevelType w:val="hybridMultilevel"/>
    <w:tmpl w:val="DFF417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17177"/>
    <w:multiLevelType w:val="hybridMultilevel"/>
    <w:tmpl w:val="3FEA44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7425FE"/>
    <w:multiLevelType w:val="hybridMultilevel"/>
    <w:tmpl w:val="5F22F0BC"/>
    <w:lvl w:ilvl="0" w:tplc="08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ECE"/>
    <w:rsid w:val="00005556"/>
    <w:rsid w:val="000063F7"/>
    <w:rsid w:val="00007141"/>
    <w:rsid w:val="00022C4B"/>
    <w:rsid w:val="00034FA5"/>
    <w:rsid w:val="00063CA8"/>
    <w:rsid w:val="00067495"/>
    <w:rsid w:val="000F5F05"/>
    <w:rsid w:val="0012141B"/>
    <w:rsid w:val="0019656D"/>
    <w:rsid w:val="001F508A"/>
    <w:rsid w:val="00243ECB"/>
    <w:rsid w:val="002A5762"/>
    <w:rsid w:val="002F76A7"/>
    <w:rsid w:val="0031037B"/>
    <w:rsid w:val="00351A76"/>
    <w:rsid w:val="00381AB6"/>
    <w:rsid w:val="003831BA"/>
    <w:rsid w:val="003E7F03"/>
    <w:rsid w:val="00487036"/>
    <w:rsid w:val="004B00C4"/>
    <w:rsid w:val="004B53B0"/>
    <w:rsid w:val="004B739B"/>
    <w:rsid w:val="004F3988"/>
    <w:rsid w:val="00513ACC"/>
    <w:rsid w:val="005957C8"/>
    <w:rsid w:val="005A083E"/>
    <w:rsid w:val="00741E77"/>
    <w:rsid w:val="007D0144"/>
    <w:rsid w:val="00824C9D"/>
    <w:rsid w:val="008D7299"/>
    <w:rsid w:val="008F001D"/>
    <w:rsid w:val="00963E64"/>
    <w:rsid w:val="00967FC0"/>
    <w:rsid w:val="00A33E90"/>
    <w:rsid w:val="00A81ECE"/>
    <w:rsid w:val="00AE5F68"/>
    <w:rsid w:val="00B0627B"/>
    <w:rsid w:val="00B30B52"/>
    <w:rsid w:val="00B83A8B"/>
    <w:rsid w:val="00BC06F1"/>
    <w:rsid w:val="00BE094A"/>
    <w:rsid w:val="00C85232"/>
    <w:rsid w:val="00CA7AD7"/>
    <w:rsid w:val="00CF3EB2"/>
    <w:rsid w:val="00D1630B"/>
    <w:rsid w:val="00D1717E"/>
    <w:rsid w:val="00D71FCE"/>
    <w:rsid w:val="00EB0850"/>
    <w:rsid w:val="00EF1DFF"/>
    <w:rsid w:val="00F26B7A"/>
    <w:rsid w:val="00F40C75"/>
    <w:rsid w:val="00F83C3A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1E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CE"/>
  </w:style>
  <w:style w:type="paragraph" w:styleId="Piedepgina">
    <w:name w:val="footer"/>
    <w:basedOn w:val="Normal"/>
    <w:link w:val="PiedepginaCar"/>
    <w:uiPriority w:val="99"/>
    <w:unhideWhenUsed/>
    <w:rsid w:val="00A81E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CE"/>
  </w:style>
  <w:style w:type="paragraph" w:styleId="Textodeglobo">
    <w:name w:val="Balloon Text"/>
    <w:basedOn w:val="Normal"/>
    <w:link w:val="TextodegloboCar"/>
    <w:uiPriority w:val="99"/>
    <w:semiHidden/>
    <w:unhideWhenUsed/>
    <w:rsid w:val="00A81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1EC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22C4B"/>
    <w:pPr>
      <w:ind w:left="720"/>
      <w:contextualSpacing/>
    </w:pPr>
  </w:style>
  <w:style w:type="table" w:styleId="Tablaconcuadrcula">
    <w:name w:val="Table Grid"/>
    <w:basedOn w:val="Tablanormal"/>
    <w:uiPriority w:val="39"/>
    <w:rsid w:val="00FF7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2F76A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76A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F76A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76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76A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Dr.torres Salgado</dc:creator>
  <cp:lastModifiedBy>Consultorio</cp:lastModifiedBy>
  <cp:revision>2</cp:revision>
  <cp:lastPrinted>2016-10-24T15:34:00Z</cp:lastPrinted>
  <dcterms:created xsi:type="dcterms:W3CDTF">2022-02-21T19:49:00Z</dcterms:created>
  <dcterms:modified xsi:type="dcterms:W3CDTF">2022-02-21T19:49:00Z</dcterms:modified>
</cp:coreProperties>
</file>